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0D" w:rsidRDefault="007B0E0D">
      <w:pPr>
        <w:spacing w:after="0" w:line="259" w:lineRule="auto"/>
        <w:ind w:left="14" w:firstLine="0"/>
        <w:rPr>
          <w:b/>
          <w:sz w:val="28"/>
        </w:rPr>
      </w:pPr>
    </w:p>
    <w:p w:rsidR="007B0E0D" w:rsidRDefault="007B0E0D">
      <w:pPr>
        <w:spacing w:after="0" w:line="259" w:lineRule="auto"/>
        <w:ind w:left="14" w:firstLine="0"/>
        <w:rPr>
          <w:b/>
          <w:sz w:val="28"/>
        </w:rPr>
      </w:pPr>
    </w:p>
    <w:p w:rsidR="007B0E0D" w:rsidRDefault="007B0E0D" w:rsidP="007B0E0D">
      <w:pPr>
        <w:spacing w:after="0" w:line="259" w:lineRule="auto"/>
        <w:ind w:left="0" w:firstLine="0"/>
        <w:rPr>
          <w:b/>
          <w:sz w:val="28"/>
        </w:rPr>
      </w:pPr>
      <w:r>
        <w:rPr>
          <w:b/>
          <w:sz w:val="28"/>
        </w:rPr>
        <w:t xml:space="preserve">               </w:t>
      </w:r>
      <w:r>
        <w:rPr>
          <w:noProof/>
        </w:rPr>
        <w:t xml:space="preserve">                        </w:t>
      </w:r>
      <w:r>
        <w:rPr>
          <w:noProof/>
        </w:rPr>
        <w:drawing>
          <wp:inline distT="0" distB="0" distL="0" distR="0" wp14:anchorId="7131BC15" wp14:editId="1C0963F9">
            <wp:extent cx="2889250" cy="533566"/>
            <wp:effectExtent l="0" t="0" r="6350" b="0"/>
            <wp:docPr id="1" name="Picture 1" descr="Pen-y-ffordd Tennis Club Penyffordd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y-ffordd Tennis Club Penyffordd Tennis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8254" cy="579550"/>
                    </a:xfrm>
                    <a:prstGeom prst="rect">
                      <a:avLst/>
                    </a:prstGeom>
                    <a:noFill/>
                    <a:ln>
                      <a:noFill/>
                    </a:ln>
                  </pic:spPr>
                </pic:pic>
              </a:graphicData>
            </a:graphic>
          </wp:inline>
        </w:drawing>
      </w:r>
    </w:p>
    <w:p w:rsidR="00A11D43" w:rsidRPr="007B0E0D" w:rsidRDefault="007B0E0D" w:rsidP="007B0E0D">
      <w:pPr>
        <w:spacing w:after="0" w:line="259" w:lineRule="auto"/>
        <w:ind w:left="0" w:firstLine="0"/>
        <w:rPr>
          <w:sz w:val="28"/>
          <w:szCs w:val="28"/>
        </w:rPr>
      </w:pPr>
      <w:r w:rsidRPr="007B0E0D">
        <w:rPr>
          <w:b/>
          <w:sz w:val="28"/>
          <w:szCs w:val="28"/>
        </w:rPr>
        <w:t xml:space="preserve">Pen-y-ffordd Tennis Club </w:t>
      </w:r>
    </w:p>
    <w:p w:rsidR="00A11D43" w:rsidRPr="007B0E0D" w:rsidRDefault="007B0E0D">
      <w:pPr>
        <w:spacing w:after="0" w:line="259" w:lineRule="auto"/>
        <w:ind w:left="14" w:firstLine="0"/>
        <w:rPr>
          <w:sz w:val="28"/>
          <w:szCs w:val="28"/>
        </w:rPr>
      </w:pPr>
      <w:r w:rsidRPr="007B0E0D">
        <w:rPr>
          <w:b/>
          <w:sz w:val="28"/>
          <w:szCs w:val="28"/>
        </w:rPr>
        <w:t xml:space="preserve"> </w:t>
      </w:r>
    </w:p>
    <w:p w:rsidR="00A11D43" w:rsidRPr="007B0E0D" w:rsidRDefault="007B0E0D">
      <w:pPr>
        <w:spacing w:after="0" w:line="259" w:lineRule="auto"/>
        <w:ind w:left="14" w:firstLine="0"/>
        <w:rPr>
          <w:sz w:val="28"/>
          <w:szCs w:val="28"/>
        </w:rPr>
      </w:pPr>
      <w:r w:rsidRPr="007B0E0D">
        <w:rPr>
          <w:b/>
          <w:sz w:val="28"/>
          <w:szCs w:val="28"/>
        </w:rPr>
        <w:t xml:space="preserve">Welfare Officer Role Description </w:t>
      </w:r>
      <w:r w:rsidRPr="007B0E0D">
        <w:rPr>
          <w:sz w:val="28"/>
          <w:szCs w:val="28"/>
        </w:rPr>
        <w:t xml:space="preserve"> </w:t>
      </w:r>
    </w:p>
    <w:p w:rsidR="00A11D43" w:rsidRDefault="007B0E0D">
      <w:pPr>
        <w:spacing w:after="0" w:line="259" w:lineRule="auto"/>
        <w:ind w:left="14" w:firstLine="0"/>
      </w:pPr>
      <w:r>
        <w:rPr>
          <w:b/>
        </w:rPr>
        <w:t xml:space="preserve"> </w:t>
      </w:r>
      <w:r>
        <w:t xml:space="preserve"> </w:t>
      </w:r>
    </w:p>
    <w:p w:rsidR="00A11D43" w:rsidRDefault="007B0E0D">
      <w:pPr>
        <w:pStyle w:val="Heading1"/>
        <w:ind w:left="-5"/>
        <w:rPr>
          <w:sz w:val="28"/>
          <w:szCs w:val="28"/>
        </w:rPr>
      </w:pPr>
      <w:r w:rsidRPr="007B0E0D">
        <w:rPr>
          <w:sz w:val="28"/>
          <w:szCs w:val="28"/>
        </w:rPr>
        <w:t>Welfare Officer (</w:t>
      </w:r>
      <w:hyperlink r:id="rId6" w:history="1">
        <w:r w:rsidRPr="00FF3864">
          <w:rPr>
            <w:rStyle w:val="Hyperlink"/>
            <w:sz w:val="28"/>
            <w:szCs w:val="28"/>
          </w:rPr>
          <w:t>penyfforddsafeguarding@gmail.com</w:t>
        </w:r>
      </w:hyperlink>
      <w:r>
        <w:rPr>
          <w:sz w:val="28"/>
          <w:szCs w:val="28"/>
        </w:rPr>
        <w:t>)</w:t>
      </w:r>
    </w:p>
    <w:p w:rsidR="007B0E0D" w:rsidRPr="007B0E0D" w:rsidRDefault="007B0E0D" w:rsidP="007B0E0D"/>
    <w:p w:rsidR="00A11D43" w:rsidRDefault="007B0E0D">
      <w:pPr>
        <w:spacing w:after="0" w:line="259" w:lineRule="auto"/>
        <w:ind w:left="14" w:firstLine="0"/>
      </w:pPr>
      <w:r>
        <w:t xml:space="preserve">   </w:t>
      </w:r>
    </w:p>
    <w:p w:rsidR="00A11D43" w:rsidRPr="007B0E0D" w:rsidRDefault="007B0E0D">
      <w:pPr>
        <w:spacing w:after="0" w:line="259" w:lineRule="auto"/>
        <w:ind w:left="14" w:firstLine="0"/>
        <w:rPr>
          <w:sz w:val="24"/>
          <w:szCs w:val="24"/>
        </w:rPr>
      </w:pPr>
      <w:r w:rsidRPr="007B0E0D">
        <w:rPr>
          <w:b/>
          <w:i/>
          <w:sz w:val="24"/>
          <w:szCs w:val="24"/>
        </w:rPr>
        <w:t>The Welfare Officer is responsible for creating a safe and inclusive venue for everyone with a particular focus on safeguarding.</w:t>
      </w:r>
      <w:r w:rsidRPr="007B0E0D">
        <w:rPr>
          <w:sz w:val="24"/>
          <w:szCs w:val="24"/>
        </w:rPr>
        <w:t xml:space="preserve"> </w:t>
      </w:r>
    </w:p>
    <w:p w:rsidR="00A11D43" w:rsidRPr="007B0E0D" w:rsidRDefault="007B0E0D">
      <w:pPr>
        <w:spacing w:after="0" w:line="259" w:lineRule="auto"/>
        <w:ind w:left="14" w:firstLine="0"/>
        <w:rPr>
          <w:sz w:val="24"/>
          <w:szCs w:val="24"/>
        </w:rPr>
      </w:pPr>
      <w:r w:rsidRPr="007B0E0D">
        <w:rPr>
          <w:sz w:val="24"/>
          <w:szCs w:val="24"/>
        </w:rPr>
        <w:t xml:space="preserve">  </w:t>
      </w:r>
    </w:p>
    <w:p w:rsidR="00A11D43" w:rsidRPr="007B0E0D" w:rsidRDefault="007B0E0D">
      <w:pPr>
        <w:pStyle w:val="Heading1"/>
        <w:ind w:left="-5"/>
        <w:rPr>
          <w:sz w:val="28"/>
          <w:szCs w:val="28"/>
        </w:rPr>
      </w:pPr>
      <w:r w:rsidRPr="007B0E0D">
        <w:rPr>
          <w:sz w:val="28"/>
          <w:szCs w:val="28"/>
        </w:rPr>
        <w:t xml:space="preserve">Main duties  </w:t>
      </w:r>
    </w:p>
    <w:p w:rsidR="00A11D43" w:rsidRPr="007B0E0D" w:rsidRDefault="007B0E0D">
      <w:pPr>
        <w:numPr>
          <w:ilvl w:val="0"/>
          <w:numId w:val="1"/>
        </w:numPr>
        <w:ind w:hanging="360"/>
        <w:rPr>
          <w:sz w:val="24"/>
          <w:szCs w:val="24"/>
        </w:rPr>
      </w:pPr>
      <w:r w:rsidRPr="007B0E0D">
        <w:rPr>
          <w:sz w:val="24"/>
          <w:szCs w:val="24"/>
        </w:rPr>
        <w:t xml:space="preserve">To promote safe and inclusive tennis, empowering staff, volunteers, coaches, members and the committee to deliver a safe and inclusive venue and culture   </w:t>
      </w:r>
    </w:p>
    <w:p w:rsidR="00A11D43" w:rsidRPr="007B0E0D" w:rsidRDefault="007B0E0D">
      <w:pPr>
        <w:numPr>
          <w:ilvl w:val="0"/>
          <w:numId w:val="1"/>
        </w:numPr>
        <w:ind w:hanging="360"/>
        <w:rPr>
          <w:sz w:val="24"/>
          <w:szCs w:val="24"/>
        </w:rPr>
      </w:pPr>
      <w:r w:rsidRPr="007B0E0D">
        <w:rPr>
          <w:sz w:val="24"/>
          <w:szCs w:val="24"/>
        </w:rPr>
        <w:t xml:space="preserve">To ensure safeguarding and equality are on the agenda at committee meetings and to assist where required with safe and inclusive risk assessments  </w:t>
      </w:r>
    </w:p>
    <w:p w:rsidR="00A11D43" w:rsidRPr="007B0E0D" w:rsidRDefault="007B0E0D">
      <w:pPr>
        <w:numPr>
          <w:ilvl w:val="0"/>
          <w:numId w:val="1"/>
        </w:numPr>
        <w:ind w:hanging="360"/>
        <w:rPr>
          <w:sz w:val="24"/>
          <w:szCs w:val="24"/>
        </w:rPr>
      </w:pPr>
      <w:r w:rsidRPr="007B0E0D">
        <w:rPr>
          <w:sz w:val="24"/>
          <w:szCs w:val="24"/>
        </w:rPr>
        <w:t xml:space="preserve">To ensure safe and inclusive information, including policies, reporting procedures and Welfare Officer poster is clearly displayed  </w:t>
      </w:r>
    </w:p>
    <w:p w:rsidR="00A11D43" w:rsidRPr="007B0E0D" w:rsidRDefault="007B0E0D">
      <w:pPr>
        <w:numPr>
          <w:ilvl w:val="0"/>
          <w:numId w:val="1"/>
        </w:numPr>
        <w:ind w:hanging="360"/>
        <w:rPr>
          <w:sz w:val="24"/>
          <w:szCs w:val="24"/>
        </w:rPr>
      </w:pPr>
      <w:r w:rsidRPr="007B0E0D">
        <w:rPr>
          <w:sz w:val="24"/>
          <w:szCs w:val="24"/>
        </w:rPr>
        <w:t xml:space="preserve">To champion respect and Fair Play   </w:t>
      </w:r>
    </w:p>
    <w:p w:rsidR="00A11D43" w:rsidRPr="007B0E0D" w:rsidRDefault="007B0E0D">
      <w:pPr>
        <w:numPr>
          <w:ilvl w:val="0"/>
          <w:numId w:val="1"/>
        </w:numPr>
        <w:ind w:hanging="360"/>
        <w:rPr>
          <w:sz w:val="24"/>
          <w:szCs w:val="24"/>
        </w:rPr>
      </w:pPr>
      <w:r w:rsidRPr="007B0E0D">
        <w:rPr>
          <w:sz w:val="24"/>
          <w:szCs w:val="24"/>
        </w:rPr>
        <w:t xml:space="preserve">To be the main point of contact for all children and adults to report concerns and disclosures, handling concerns calmly and sensitively in line with the club’s reporting procedure and prioritising the wellbeing of the child/adult at risk at all times  </w:t>
      </w:r>
    </w:p>
    <w:p w:rsidR="00A11D43" w:rsidRPr="007B0E0D" w:rsidRDefault="007B0E0D">
      <w:pPr>
        <w:numPr>
          <w:ilvl w:val="0"/>
          <w:numId w:val="1"/>
        </w:numPr>
        <w:spacing w:after="74"/>
        <w:ind w:hanging="360"/>
        <w:rPr>
          <w:sz w:val="24"/>
          <w:szCs w:val="24"/>
        </w:rPr>
      </w:pPr>
      <w:r w:rsidRPr="007B0E0D">
        <w:rPr>
          <w:sz w:val="24"/>
          <w:szCs w:val="24"/>
        </w:rPr>
        <w:t xml:space="preserve">To work with the LTA Safe and Inclusive Tennis teams when concerns arise within your club. To record concerns on the Reporting a Concern Form and forward to the Safeguarding Team  </w:t>
      </w:r>
    </w:p>
    <w:p w:rsidR="00A11D43" w:rsidRPr="007B0E0D" w:rsidRDefault="007B0E0D">
      <w:pPr>
        <w:numPr>
          <w:ilvl w:val="0"/>
          <w:numId w:val="1"/>
        </w:numPr>
        <w:ind w:hanging="360"/>
        <w:rPr>
          <w:sz w:val="24"/>
          <w:szCs w:val="24"/>
        </w:rPr>
      </w:pPr>
      <w:r w:rsidRPr="007B0E0D">
        <w:rPr>
          <w:sz w:val="24"/>
          <w:szCs w:val="24"/>
        </w:rPr>
        <w:t xml:space="preserve">To contact the Local Authority children’s or adults’ social care teams and the police where appropriate  </w:t>
      </w:r>
    </w:p>
    <w:p w:rsidR="00A11D43" w:rsidRPr="007B0E0D" w:rsidRDefault="007B0E0D">
      <w:pPr>
        <w:numPr>
          <w:ilvl w:val="0"/>
          <w:numId w:val="1"/>
        </w:numPr>
        <w:ind w:hanging="360"/>
        <w:rPr>
          <w:sz w:val="24"/>
          <w:szCs w:val="24"/>
        </w:rPr>
      </w:pPr>
      <w:r w:rsidRPr="007B0E0D">
        <w:rPr>
          <w:sz w:val="24"/>
          <w:szCs w:val="24"/>
        </w:rPr>
        <w:t xml:space="preserve">To support and assist your club to fulfil its safeguarding responsibilities  </w:t>
      </w:r>
    </w:p>
    <w:p w:rsidR="00A11D43" w:rsidRPr="007B0E0D" w:rsidRDefault="007B0E0D">
      <w:pPr>
        <w:numPr>
          <w:ilvl w:val="0"/>
          <w:numId w:val="1"/>
        </w:numPr>
        <w:ind w:hanging="360"/>
        <w:rPr>
          <w:sz w:val="24"/>
          <w:szCs w:val="24"/>
        </w:rPr>
      </w:pPr>
      <w:r w:rsidRPr="007B0E0D">
        <w:rPr>
          <w:sz w:val="24"/>
          <w:szCs w:val="24"/>
        </w:rPr>
        <w:t xml:space="preserve">To ensure the relevant people at your club attend the LTA Safeguarding and Protection in Tennis training  </w:t>
      </w:r>
    </w:p>
    <w:p w:rsidR="00A11D43" w:rsidRPr="007B0E0D" w:rsidRDefault="007B0E0D">
      <w:pPr>
        <w:numPr>
          <w:ilvl w:val="0"/>
          <w:numId w:val="1"/>
        </w:numPr>
        <w:ind w:hanging="360"/>
        <w:rPr>
          <w:sz w:val="24"/>
          <w:szCs w:val="24"/>
        </w:rPr>
      </w:pPr>
      <w:r w:rsidRPr="007B0E0D">
        <w:rPr>
          <w:sz w:val="24"/>
          <w:szCs w:val="24"/>
        </w:rPr>
        <w:t xml:space="preserve">To support any young volunteers at the club, having regular check-ins and being aware of young volunteer guidelines </w:t>
      </w:r>
    </w:p>
    <w:p w:rsidR="00A11D43" w:rsidRPr="007B0E0D" w:rsidRDefault="007B0E0D">
      <w:pPr>
        <w:numPr>
          <w:ilvl w:val="0"/>
          <w:numId w:val="1"/>
        </w:numPr>
        <w:ind w:hanging="360"/>
        <w:rPr>
          <w:sz w:val="24"/>
          <w:szCs w:val="24"/>
        </w:rPr>
      </w:pPr>
      <w:r w:rsidRPr="007B0E0D">
        <w:rPr>
          <w:sz w:val="24"/>
          <w:szCs w:val="24"/>
        </w:rPr>
        <w:t>To check the</w:t>
      </w:r>
      <w:hyperlink r:id="rId7">
        <w:r w:rsidRPr="007B0E0D">
          <w:rPr>
            <w:sz w:val="24"/>
            <w:szCs w:val="24"/>
          </w:rPr>
          <w:t xml:space="preserve"> </w:t>
        </w:r>
      </w:hyperlink>
      <w:hyperlink r:id="rId8">
        <w:r w:rsidRPr="007B0E0D">
          <w:rPr>
            <w:color w:val="0000FF"/>
            <w:sz w:val="24"/>
            <w:szCs w:val="24"/>
            <w:u w:val="single" w:color="0000FF"/>
          </w:rPr>
          <w:t>LTA safeguardin</w:t>
        </w:r>
      </w:hyperlink>
      <w:hyperlink r:id="rId9">
        <w:r w:rsidRPr="007B0E0D">
          <w:rPr>
            <w:color w:val="0000FF"/>
            <w:sz w:val="24"/>
            <w:szCs w:val="24"/>
            <w:u w:val="single" w:color="0000FF"/>
          </w:rPr>
          <w:t>g</w:t>
        </w:r>
      </w:hyperlink>
      <w:hyperlink r:id="rId10">
        <w:r w:rsidRPr="007B0E0D">
          <w:rPr>
            <w:sz w:val="24"/>
            <w:szCs w:val="24"/>
          </w:rPr>
          <w:t xml:space="preserve"> </w:t>
        </w:r>
      </w:hyperlink>
      <w:hyperlink r:id="rId11">
        <w:r w:rsidRPr="007B0E0D">
          <w:rPr>
            <w:sz w:val="24"/>
            <w:szCs w:val="24"/>
          </w:rPr>
          <w:t>s</w:t>
        </w:r>
      </w:hyperlink>
      <w:r w:rsidRPr="007B0E0D">
        <w:rPr>
          <w:sz w:val="24"/>
          <w:szCs w:val="24"/>
        </w:rPr>
        <w:t xml:space="preserve">ection online for updates and resources.  </w:t>
      </w:r>
    </w:p>
    <w:p w:rsidR="00A11D43" w:rsidRDefault="007B0E0D">
      <w:pPr>
        <w:spacing w:after="0" w:line="259" w:lineRule="auto"/>
        <w:ind w:left="14" w:firstLine="0"/>
      </w:pPr>
      <w:r>
        <w:t xml:space="preserve">  </w:t>
      </w:r>
    </w:p>
    <w:p w:rsidR="00A11D43" w:rsidRPr="007B0E0D" w:rsidRDefault="007B0E0D">
      <w:pPr>
        <w:pStyle w:val="Heading1"/>
        <w:ind w:left="-5"/>
        <w:rPr>
          <w:sz w:val="28"/>
          <w:szCs w:val="28"/>
        </w:rPr>
      </w:pPr>
      <w:r w:rsidRPr="007B0E0D">
        <w:rPr>
          <w:sz w:val="28"/>
          <w:szCs w:val="28"/>
        </w:rPr>
        <w:t xml:space="preserve">Skills and traits  </w:t>
      </w:r>
    </w:p>
    <w:p w:rsidR="00A11D43" w:rsidRPr="007B0E0D" w:rsidRDefault="007B0E0D">
      <w:pPr>
        <w:ind w:left="24"/>
        <w:rPr>
          <w:sz w:val="24"/>
          <w:szCs w:val="24"/>
        </w:rPr>
      </w:pPr>
      <w:r w:rsidRPr="007B0E0D">
        <w:rPr>
          <w:sz w:val="24"/>
          <w:szCs w:val="24"/>
        </w:rPr>
        <w:t xml:space="preserve">In an NSPCC survey, children said welfare officers should be:  </w:t>
      </w:r>
    </w:p>
    <w:p w:rsidR="00A11D43" w:rsidRPr="007B0E0D" w:rsidRDefault="007B0E0D">
      <w:pPr>
        <w:numPr>
          <w:ilvl w:val="0"/>
          <w:numId w:val="2"/>
        </w:numPr>
        <w:ind w:hanging="720"/>
        <w:rPr>
          <w:sz w:val="24"/>
          <w:szCs w:val="24"/>
        </w:rPr>
      </w:pPr>
      <w:r w:rsidRPr="007B0E0D">
        <w:rPr>
          <w:sz w:val="24"/>
          <w:szCs w:val="24"/>
        </w:rPr>
        <w:t xml:space="preserve">Tactful and discrete  </w:t>
      </w:r>
    </w:p>
    <w:p w:rsidR="00A11D43" w:rsidRPr="007B0E0D" w:rsidRDefault="007B0E0D">
      <w:pPr>
        <w:numPr>
          <w:ilvl w:val="0"/>
          <w:numId w:val="2"/>
        </w:numPr>
        <w:ind w:hanging="720"/>
        <w:rPr>
          <w:sz w:val="24"/>
          <w:szCs w:val="24"/>
        </w:rPr>
      </w:pPr>
      <w:r w:rsidRPr="007B0E0D">
        <w:rPr>
          <w:sz w:val="24"/>
          <w:szCs w:val="24"/>
        </w:rPr>
        <w:t xml:space="preserve">Able to resolve conflict  </w:t>
      </w:r>
    </w:p>
    <w:p w:rsidR="00A11D43" w:rsidRPr="007B0E0D" w:rsidRDefault="007B0E0D">
      <w:pPr>
        <w:numPr>
          <w:ilvl w:val="0"/>
          <w:numId w:val="2"/>
        </w:numPr>
        <w:ind w:hanging="720"/>
        <w:rPr>
          <w:sz w:val="24"/>
          <w:szCs w:val="24"/>
        </w:rPr>
      </w:pPr>
      <w:r w:rsidRPr="007B0E0D">
        <w:rPr>
          <w:sz w:val="24"/>
          <w:szCs w:val="24"/>
        </w:rPr>
        <w:t xml:space="preserve">Engaging and supportive  </w:t>
      </w:r>
    </w:p>
    <w:p w:rsidR="00A11D43" w:rsidRPr="007B0E0D" w:rsidRDefault="007B0E0D">
      <w:pPr>
        <w:numPr>
          <w:ilvl w:val="0"/>
          <w:numId w:val="2"/>
        </w:numPr>
        <w:ind w:hanging="720"/>
        <w:rPr>
          <w:sz w:val="24"/>
          <w:szCs w:val="24"/>
        </w:rPr>
      </w:pPr>
      <w:r w:rsidRPr="007B0E0D">
        <w:rPr>
          <w:sz w:val="24"/>
          <w:szCs w:val="24"/>
        </w:rPr>
        <w:t xml:space="preserve">Approachable and trustworthy  </w:t>
      </w:r>
    </w:p>
    <w:p w:rsidR="00A11D43" w:rsidRPr="007B0E0D" w:rsidRDefault="007B0E0D">
      <w:pPr>
        <w:numPr>
          <w:ilvl w:val="0"/>
          <w:numId w:val="2"/>
        </w:numPr>
        <w:ind w:hanging="720"/>
        <w:rPr>
          <w:sz w:val="24"/>
          <w:szCs w:val="24"/>
        </w:rPr>
      </w:pPr>
      <w:r w:rsidRPr="007B0E0D">
        <w:rPr>
          <w:sz w:val="24"/>
          <w:szCs w:val="24"/>
        </w:rPr>
        <w:t xml:space="preserve">Good listener and friendly  </w:t>
      </w:r>
    </w:p>
    <w:p w:rsidR="00A11D43" w:rsidRPr="007B0E0D" w:rsidRDefault="007B0E0D">
      <w:pPr>
        <w:numPr>
          <w:ilvl w:val="0"/>
          <w:numId w:val="2"/>
        </w:numPr>
        <w:ind w:hanging="720"/>
        <w:rPr>
          <w:sz w:val="24"/>
          <w:szCs w:val="24"/>
        </w:rPr>
      </w:pPr>
      <w:r w:rsidRPr="007B0E0D">
        <w:rPr>
          <w:sz w:val="24"/>
          <w:szCs w:val="24"/>
        </w:rPr>
        <w:t xml:space="preserve">Caring and understanding  </w:t>
      </w:r>
    </w:p>
    <w:p w:rsidR="00A11D43" w:rsidRPr="007B0E0D" w:rsidRDefault="007B0E0D">
      <w:pPr>
        <w:numPr>
          <w:ilvl w:val="0"/>
          <w:numId w:val="2"/>
        </w:numPr>
        <w:ind w:hanging="720"/>
        <w:rPr>
          <w:sz w:val="24"/>
          <w:szCs w:val="24"/>
        </w:rPr>
      </w:pPr>
      <w:r w:rsidRPr="007B0E0D">
        <w:rPr>
          <w:sz w:val="24"/>
          <w:szCs w:val="24"/>
        </w:rPr>
        <w:t xml:space="preserve">Professional and helpful.  </w:t>
      </w:r>
    </w:p>
    <w:p w:rsidR="00A11D43" w:rsidRDefault="007B0E0D">
      <w:pPr>
        <w:spacing w:after="0" w:line="259" w:lineRule="auto"/>
        <w:ind w:left="14" w:firstLine="0"/>
      </w:pPr>
      <w:r>
        <w:lastRenderedPageBreak/>
        <w:t xml:space="preserve">  </w:t>
      </w:r>
    </w:p>
    <w:p w:rsidR="00A11D43" w:rsidRPr="007B0E0D" w:rsidRDefault="007B0E0D">
      <w:pPr>
        <w:pStyle w:val="Heading1"/>
        <w:ind w:left="-5"/>
        <w:rPr>
          <w:sz w:val="28"/>
          <w:szCs w:val="28"/>
        </w:rPr>
      </w:pPr>
      <w:r w:rsidRPr="007B0E0D">
        <w:rPr>
          <w:sz w:val="28"/>
          <w:szCs w:val="28"/>
        </w:rPr>
        <w:t xml:space="preserve">Key relationships  </w:t>
      </w:r>
    </w:p>
    <w:p w:rsidR="00A11D43" w:rsidRPr="007B0E0D" w:rsidRDefault="007B0E0D">
      <w:pPr>
        <w:numPr>
          <w:ilvl w:val="0"/>
          <w:numId w:val="3"/>
        </w:numPr>
        <w:ind w:hanging="720"/>
        <w:rPr>
          <w:sz w:val="24"/>
          <w:szCs w:val="24"/>
        </w:rPr>
      </w:pPr>
      <w:r w:rsidRPr="007B0E0D">
        <w:rPr>
          <w:sz w:val="24"/>
          <w:szCs w:val="24"/>
        </w:rPr>
        <w:t xml:space="preserve">Chairperson and management committee  </w:t>
      </w:r>
    </w:p>
    <w:p w:rsidR="00A11D43" w:rsidRPr="007B0E0D" w:rsidRDefault="007B0E0D">
      <w:pPr>
        <w:numPr>
          <w:ilvl w:val="0"/>
          <w:numId w:val="3"/>
        </w:numPr>
        <w:ind w:hanging="720"/>
        <w:rPr>
          <w:sz w:val="24"/>
          <w:szCs w:val="24"/>
        </w:rPr>
      </w:pPr>
      <w:r w:rsidRPr="007B0E0D">
        <w:rPr>
          <w:sz w:val="24"/>
          <w:szCs w:val="24"/>
        </w:rPr>
        <w:t xml:space="preserve">Coaches   </w:t>
      </w:r>
    </w:p>
    <w:p w:rsidR="00A11D43" w:rsidRPr="007B0E0D" w:rsidRDefault="007B0E0D">
      <w:pPr>
        <w:numPr>
          <w:ilvl w:val="0"/>
          <w:numId w:val="3"/>
        </w:numPr>
        <w:ind w:hanging="720"/>
        <w:rPr>
          <w:sz w:val="24"/>
          <w:szCs w:val="24"/>
        </w:rPr>
      </w:pPr>
      <w:r w:rsidRPr="007B0E0D">
        <w:rPr>
          <w:sz w:val="24"/>
          <w:szCs w:val="24"/>
        </w:rPr>
        <w:t xml:space="preserve">Volunteers at the venue  </w:t>
      </w:r>
    </w:p>
    <w:p w:rsidR="00A11D43" w:rsidRPr="007B0E0D" w:rsidRDefault="007B0E0D">
      <w:pPr>
        <w:numPr>
          <w:ilvl w:val="0"/>
          <w:numId w:val="3"/>
        </w:numPr>
        <w:ind w:hanging="720"/>
        <w:rPr>
          <w:sz w:val="24"/>
          <w:szCs w:val="24"/>
        </w:rPr>
      </w:pPr>
      <w:r w:rsidRPr="007B0E0D">
        <w:rPr>
          <w:sz w:val="24"/>
          <w:szCs w:val="24"/>
        </w:rPr>
        <w:t xml:space="preserve">All members – junior and senior, plus parents/carers of junior members.  </w:t>
      </w:r>
    </w:p>
    <w:p w:rsidR="00A11D43" w:rsidRDefault="007B0E0D">
      <w:pPr>
        <w:spacing w:after="0" w:line="259" w:lineRule="auto"/>
        <w:ind w:left="14" w:firstLine="0"/>
      </w:pPr>
      <w:r>
        <w:t xml:space="preserve">   </w:t>
      </w:r>
    </w:p>
    <w:p w:rsidR="00A11D43" w:rsidRPr="007B0E0D" w:rsidRDefault="007B0E0D">
      <w:pPr>
        <w:pStyle w:val="Heading1"/>
        <w:ind w:left="-5"/>
        <w:rPr>
          <w:sz w:val="28"/>
          <w:szCs w:val="28"/>
        </w:rPr>
      </w:pPr>
      <w:r w:rsidRPr="007B0E0D">
        <w:rPr>
          <w:sz w:val="28"/>
          <w:szCs w:val="28"/>
        </w:rPr>
        <w:t xml:space="preserve">Time commitment  </w:t>
      </w:r>
    </w:p>
    <w:p w:rsidR="00A11D43" w:rsidRDefault="007B0E0D">
      <w:pPr>
        <w:spacing w:after="53" w:line="259" w:lineRule="auto"/>
        <w:ind w:left="14" w:firstLine="0"/>
      </w:pPr>
      <w:r>
        <w:t xml:space="preserve">  </w:t>
      </w:r>
    </w:p>
    <w:p w:rsidR="00A11D43" w:rsidRPr="007B0E0D" w:rsidRDefault="007B0E0D">
      <w:pPr>
        <w:numPr>
          <w:ilvl w:val="0"/>
          <w:numId w:val="4"/>
        </w:numPr>
        <w:ind w:hanging="720"/>
        <w:rPr>
          <w:sz w:val="24"/>
          <w:szCs w:val="24"/>
        </w:rPr>
      </w:pPr>
      <w:r w:rsidRPr="007B0E0D">
        <w:rPr>
          <w:sz w:val="24"/>
          <w:szCs w:val="24"/>
        </w:rPr>
        <w:t xml:space="preserve">Attendance at key club events, such as open days and junior competition </w:t>
      </w:r>
    </w:p>
    <w:p w:rsidR="00A11D43" w:rsidRPr="007B0E0D" w:rsidRDefault="007B0E0D">
      <w:pPr>
        <w:numPr>
          <w:ilvl w:val="0"/>
          <w:numId w:val="4"/>
        </w:numPr>
        <w:ind w:hanging="720"/>
        <w:rPr>
          <w:sz w:val="24"/>
          <w:szCs w:val="24"/>
        </w:rPr>
      </w:pPr>
      <w:r w:rsidRPr="007B0E0D">
        <w:rPr>
          <w:sz w:val="24"/>
          <w:szCs w:val="24"/>
        </w:rPr>
        <w:t xml:space="preserve">Attendance at management committee meetings. </w:t>
      </w:r>
    </w:p>
    <w:p w:rsidR="00A11D43" w:rsidRDefault="007B0E0D">
      <w:pPr>
        <w:spacing w:after="0" w:line="259" w:lineRule="auto"/>
        <w:ind w:left="14" w:firstLine="0"/>
      </w:pPr>
      <w:r>
        <w:t xml:space="preserve"> </w:t>
      </w:r>
    </w:p>
    <w:p w:rsidR="00A11D43" w:rsidRDefault="007B0E0D">
      <w:pPr>
        <w:pStyle w:val="Heading1"/>
        <w:ind w:left="-5"/>
        <w:rPr>
          <w:sz w:val="28"/>
          <w:szCs w:val="28"/>
        </w:rPr>
      </w:pPr>
      <w:r w:rsidRPr="007B0E0D">
        <w:rPr>
          <w:sz w:val="28"/>
          <w:szCs w:val="28"/>
        </w:rPr>
        <w:t>Criminal records check</w:t>
      </w:r>
      <w:r w:rsidRPr="007B0E0D">
        <w:rPr>
          <w:b w:val="0"/>
          <w:sz w:val="28"/>
          <w:szCs w:val="28"/>
        </w:rPr>
        <w:t xml:space="preserve"> </w:t>
      </w:r>
      <w:r w:rsidRPr="007B0E0D">
        <w:rPr>
          <w:sz w:val="28"/>
          <w:szCs w:val="28"/>
        </w:rPr>
        <w:t xml:space="preserve"> </w:t>
      </w:r>
    </w:p>
    <w:p w:rsidR="007B0E0D" w:rsidRDefault="007B0E0D" w:rsidP="007B0E0D">
      <w:pPr>
        <w:pStyle w:val="ListParagraph"/>
        <w:numPr>
          <w:ilvl w:val="0"/>
          <w:numId w:val="5"/>
        </w:numPr>
        <w:tabs>
          <w:tab w:val="center" w:pos="414"/>
          <w:tab w:val="center" w:pos="3399"/>
        </w:tabs>
      </w:pPr>
      <w:r>
        <w:t xml:space="preserve">Essential for this role – more information </w:t>
      </w:r>
      <w:hyperlink r:id="rId12">
        <w:r w:rsidRPr="007B0E0D">
          <w:rPr>
            <w:color w:val="0000FF"/>
            <w:u w:val="single" w:color="0000FF"/>
          </w:rPr>
          <w:t>here</w:t>
        </w:r>
      </w:hyperlink>
      <w:hyperlink r:id="rId13">
        <w:r>
          <w:t>.</w:t>
        </w:r>
      </w:hyperlink>
      <w:r>
        <w:t xml:space="preserve"> </w:t>
      </w:r>
    </w:p>
    <w:p w:rsidR="007B0E0D" w:rsidRDefault="007B0E0D" w:rsidP="007B0E0D">
      <w:pPr>
        <w:tabs>
          <w:tab w:val="center" w:pos="414"/>
          <w:tab w:val="center" w:pos="3399"/>
        </w:tabs>
      </w:pPr>
    </w:p>
    <w:p w:rsidR="007B0E0D" w:rsidRDefault="007B0E0D" w:rsidP="007B0E0D">
      <w:pPr>
        <w:tabs>
          <w:tab w:val="center" w:pos="414"/>
          <w:tab w:val="center" w:pos="3399"/>
        </w:tabs>
      </w:pPr>
    </w:p>
    <w:p w:rsidR="007B0E0D" w:rsidRDefault="007B0E0D" w:rsidP="007B0E0D">
      <w:pPr>
        <w:pStyle w:val="Heading1"/>
        <w:ind w:left="-5"/>
        <w:rPr>
          <w:sz w:val="28"/>
          <w:szCs w:val="28"/>
        </w:rPr>
      </w:pPr>
      <w:r>
        <w:rPr>
          <w:sz w:val="28"/>
          <w:szCs w:val="28"/>
        </w:rPr>
        <w:t>Welfare Officer Training</w:t>
      </w:r>
    </w:p>
    <w:p w:rsidR="007B0E0D" w:rsidRPr="007B0E0D" w:rsidRDefault="007B0E0D" w:rsidP="007B0E0D">
      <w:pPr>
        <w:pStyle w:val="Heading1"/>
        <w:numPr>
          <w:ilvl w:val="0"/>
          <w:numId w:val="5"/>
        </w:numPr>
        <w:rPr>
          <w:b w:val="0"/>
          <w:sz w:val="24"/>
          <w:szCs w:val="24"/>
        </w:rPr>
      </w:pPr>
      <w:r w:rsidRPr="007B0E0D">
        <w:rPr>
          <w:b w:val="0"/>
          <w:sz w:val="24"/>
          <w:szCs w:val="24"/>
        </w:rPr>
        <w:t>Welfare Officer</w:t>
      </w:r>
      <w:r>
        <w:rPr>
          <w:b w:val="0"/>
          <w:sz w:val="24"/>
          <w:szCs w:val="24"/>
        </w:rPr>
        <w:t>(s)</w:t>
      </w:r>
      <w:r w:rsidRPr="007B0E0D">
        <w:rPr>
          <w:b w:val="0"/>
          <w:sz w:val="24"/>
          <w:szCs w:val="24"/>
        </w:rPr>
        <w:t xml:space="preserve"> to attend and complete Safeguarding training and updates.  </w:t>
      </w:r>
    </w:p>
    <w:p w:rsidR="007B0E0D" w:rsidRP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p w:rsidR="007B0E0D" w:rsidRDefault="007B0E0D" w:rsidP="007B0E0D">
      <w:bookmarkStart w:id="0" w:name="_GoBack"/>
      <w:bookmarkEnd w:id="0"/>
    </w:p>
    <w:sectPr w:rsidR="007B0E0D" w:rsidSect="007B0E0D">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73BB0"/>
    <w:multiLevelType w:val="hybridMultilevel"/>
    <w:tmpl w:val="0CD23190"/>
    <w:lvl w:ilvl="0" w:tplc="C87CD28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DA54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C6D7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E47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6070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4E59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6B6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CAF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49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186155"/>
    <w:multiLevelType w:val="hybridMultilevel"/>
    <w:tmpl w:val="7A22085C"/>
    <w:lvl w:ilvl="0" w:tplc="119ABE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4163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6E88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7CD2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A6EE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C07F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0EA4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49D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F47B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B53A3A"/>
    <w:multiLevelType w:val="hybridMultilevel"/>
    <w:tmpl w:val="EB467F68"/>
    <w:lvl w:ilvl="0" w:tplc="48C6699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F4E85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0C1B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D6AE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20A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1226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04C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CA3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651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D005B66"/>
    <w:multiLevelType w:val="hybridMultilevel"/>
    <w:tmpl w:val="2996BD96"/>
    <w:lvl w:ilvl="0" w:tplc="B7EA21B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C343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8C07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46C9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062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529D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508C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8383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18B11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481E03"/>
    <w:multiLevelType w:val="hybridMultilevel"/>
    <w:tmpl w:val="504AA9D0"/>
    <w:lvl w:ilvl="0" w:tplc="BB8EB152">
      <w:start w:val="1"/>
      <w:numFmt w:val="bullet"/>
      <w:lvlText w:val="•"/>
      <w:lvlJc w:val="left"/>
      <w:pPr>
        <w:ind w:left="720" w:hanging="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43"/>
    <w:rsid w:val="000B542C"/>
    <w:rsid w:val="007B0E0D"/>
    <w:rsid w:val="00A1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8B6-C72C-4D53-812B-21065F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370" w:hanging="10"/>
    </w:pPr>
    <w:rPr>
      <w:rFonts w:ascii="Arial" w:eastAsia="Arial" w:hAnsi="Arial" w:cs="Arial"/>
      <w:color w:val="000000"/>
    </w:rPr>
  </w:style>
  <w:style w:type="paragraph" w:styleId="Heading1">
    <w:name w:val="heading 1"/>
    <w:next w:val="Normal"/>
    <w:link w:val="Heading1Char"/>
    <w:uiPriority w:val="9"/>
    <w:qFormat/>
    <w:pPr>
      <w:keepNext/>
      <w:keepLines/>
      <w:spacing w:after="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7B0E0D"/>
    <w:pPr>
      <w:ind w:left="720"/>
      <w:contextualSpacing/>
    </w:pPr>
  </w:style>
  <w:style w:type="character" w:styleId="Hyperlink">
    <w:name w:val="Hyperlink"/>
    <w:basedOn w:val="DefaultParagraphFont"/>
    <w:uiPriority w:val="99"/>
    <w:unhideWhenUsed/>
    <w:rsid w:val="007B0E0D"/>
    <w:rPr>
      <w:color w:val="0563C1" w:themeColor="hyperlink"/>
      <w:u w:val="single"/>
    </w:rPr>
  </w:style>
  <w:style w:type="character" w:customStyle="1" w:styleId="UnresolvedMention">
    <w:name w:val="Unresolved Mention"/>
    <w:basedOn w:val="DefaultParagraphFont"/>
    <w:uiPriority w:val="99"/>
    <w:semiHidden/>
    <w:unhideWhenUsed/>
    <w:rsid w:val="007B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ta.org.uk/coach-teach/safe--inclusive-tennis/" TargetMode="External"/><Relationship Id="rId13" Type="http://schemas.openxmlformats.org/officeDocument/2006/relationships/hyperlink" Target="http://www3.lta.org.uk/DBS" TargetMode="External"/><Relationship Id="rId3" Type="http://schemas.openxmlformats.org/officeDocument/2006/relationships/settings" Target="settings.xml"/><Relationship Id="rId7" Type="http://schemas.openxmlformats.org/officeDocument/2006/relationships/hyperlink" Target="http://www.lta.org.uk/coach-teach/safe--inclusive-tennis/" TargetMode="External"/><Relationship Id="rId12" Type="http://schemas.openxmlformats.org/officeDocument/2006/relationships/hyperlink" Target="http://www3.lta.org.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yfforddsafeguarding@gmail.com" TargetMode="External"/><Relationship Id="rId11" Type="http://schemas.openxmlformats.org/officeDocument/2006/relationships/hyperlink" Target="http://www.lta.org.uk/coach-teach/safe--inclusive-tenni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lta.org.uk/coach-teach/safe--inclusive-tennis/" TargetMode="External"/><Relationship Id="rId4" Type="http://schemas.openxmlformats.org/officeDocument/2006/relationships/webSettings" Target="webSettings.xml"/><Relationship Id="rId9" Type="http://schemas.openxmlformats.org/officeDocument/2006/relationships/hyperlink" Target="http://www.lta.org.uk/coach-teach/safe--inclusive-tenn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Aggie Hau</dc:creator>
  <cp:keywords/>
  <cp:lastModifiedBy>Nigel Edwards</cp:lastModifiedBy>
  <cp:revision>3</cp:revision>
  <dcterms:created xsi:type="dcterms:W3CDTF">2022-05-30T17:36:00Z</dcterms:created>
  <dcterms:modified xsi:type="dcterms:W3CDTF">2022-07-15T10:34:00Z</dcterms:modified>
</cp:coreProperties>
</file>